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pacing w:val="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11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</w:rPr>
        <w:t>全省党校（行政学院）系统2021—2022年度</w:t>
      </w:r>
    </w:p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科研和决策咨询工作先进单位奖获奖名单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广州市委党校（广州行政学院）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footnoteReference w:id="0"/>
      </w:r>
    </w:p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深圳市委党校（深圳行政学院）</w:t>
      </w:r>
    </w:p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珠海市委党校（珠海行政学院）</w:t>
      </w:r>
    </w:p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汕头市委党校（汕头行政学院）</w:t>
      </w:r>
    </w:p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佛山市委党校（佛山行政学院）</w:t>
      </w:r>
    </w:p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东莞市委党校（东莞行政学院）</w:t>
      </w:r>
    </w:p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中山市委党校（中山行政学院）</w:t>
      </w:r>
    </w:p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湛江市委党校（湛江行政学院）</w:t>
      </w:r>
    </w:p>
    <w:p>
      <w:pPr>
        <w:keepNext w:val="0"/>
        <w:keepLines w:val="0"/>
        <w:pageBreakBefore w:val="0"/>
        <w:widowControl w:val="0"/>
        <w:tabs>
          <w:tab w:val="left" w:pos="94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84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肇庆市委党校（肇庆行政学院）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-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283"/>
        <w:textAlignment w:val="auto"/>
        <w:outlineLvl w:val="9"/>
        <w:rPr>
          <w:rFonts w:hint="eastAsia" w:ascii="楷体-GB2312" w:hAnsi="楷体-GB2312" w:eastAsia="楷体-GB2312" w:cs="楷体-GB2312"/>
          <w:sz w:val="24"/>
          <w:szCs w:val="24"/>
          <w:lang w:eastAsia="zh-CN"/>
        </w:rPr>
      </w:pPr>
      <w:r>
        <w:rPr>
          <w:rStyle w:val="7"/>
          <w:rFonts w:hint="eastAsia" w:ascii="楷体-GB2312" w:hAnsi="楷体-GB2312" w:eastAsia="楷体-GB2312" w:cs="楷体-GB2312"/>
          <w:sz w:val="21"/>
        </w:rPr>
        <w:footnoteRef/>
      </w:r>
      <w:r>
        <w:rPr>
          <w:rFonts w:hint="eastAsia" w:ascii="楷体-GB2312" w:hAnsi="楷体-GB2312" w:eastAsia="楷体-GB2312" w:cs="楷体-GB2312"/>
          <w:sz w:val="21"/>
        </w:rPr>
        <w:t xml:space="preserve"> </w:t>
      </w:r>
      <w:r>
        <w:rPr>
          <w:rFonts w:hint="eastAsia" w:ascii="楷体-GB2312" w:hAnsi="楷体-GB2312" w:eastAsia="楷体-GB2312" w:cs="楷体-GB2312"/>
          <w:sz w:val="24"/>
          <w:szCs w:val="24"/>
          <w:lang w:eastAsia="zh-CN"/>
        </w:rPr>
        <w:t>根据《广东省党校（行政学院）系统科研和决策咨询评奖办法》，在评奖周期内已经获得全国党校（行政学院）科研和决策咨询工作先进单位奖的，认定为全省党校（行政学院）系统科研和决策咨询工作先进单位奖，不占本次评奖名额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3ED4CCF"/>
    <w:rsid w:val="4A1947CF"/>
    <w:rsid w:val="4CDC5699"/>
    <w:rsid w:val="5FDE8F92"/>
    <w:rsid w:val="5FFF5F59"/>
    <w:rsid w:val="73FA6181"/>
    <w:rsid w:val="7D7C4626"/>
    <w:rsid w:val="AAFD7C00"/>
    <w:rsid w:val="AE7B637C"/>
    <w:rsid w:val="AFEF8DAA"/>
    <w:rsid w:val="BBDBFE18"/>
    <w:rsid w:val="BDEBA607"/>
    <w:rsid w:val="D64E301A"/>
    <w:rsid w:val="D74FA593"/>
    <w:rsid w:val="DBB5D12D"/>
    <w:rsid w:val="DFFE3E7A"/>
    <w:rsid w:val="DFFF31DD"/>
    <w:rsid w:val="E91FC6E0"/>
    <w:rsid w:val="F237AD7E"/>
    <w:rsid w:val="F74700E1"/>
    <w:rsid w:val="FADD69C1"/>
    <w:rsid w:val="FBF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0" w:beforeLines="0" w:afterLines="0" w:line="620" w:lineRule="exact"/>
      <w:ind w:firstLine="883" w:firstLineChars="200"/>
      <w:jc w:val="left"/>
      <w:outlineLvl w:val="2"/>
    </w:pPr>
    <w:rPr>
      <w:rFonts w:ascii="Cambria" w:hAnsi="Cambria" w:eastAsia="楷体_GB2312" w:cs="Times New Roman"/>
    </w:rPr>
  </w:style>
  <w:style w:type="character" w:default="1" w:styleId="5">
    <w:name w:val="Default Paragraph Font"/>
    <w:link w:val="6"/>
    <w:semiHidden/>
    <w:qFormat/>
    <w:uiPriority w:val="0"/>
    <w:rPr>
      <w:rFonts w:ascii="Times New Roman" w:hAnsi="Times New Roman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afterLines="0" w:line="240" w:lineRule="exact"/>
      <w:jc w:val="left"/>
    </w:pPr>
    <w:rPr>
      <w:rFonts w:ascii="Times New Roman" w:hAnsi="Times New Roman"/>
    </w:rPr>
  </w:style>
  <w:style w:type="character" w:styleId="7">
    <w:name w:val="footnote reference"/>
    <w:basedOn w:val="5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10">
    <w:name w:val="font0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thtf</cp:lastModifiedBy>
  <dcterms:modified xsi:type="dcterms:W3CDTF">2023-11-29T15:04:05Z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